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2FA" w14:textId="77777777" w:rsidR="003C7754" w:rsidRDefault="003C7754" w:rsidP="0060391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96DE719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78478198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6A43AA6A" w14:textId="77777777" w:rsidR="003C7754" w:rsidRDefault="003C7754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</w:p>
    <w:p w14:paraId="40ED8AA3" w14:textId="641261D1" w:rsidR="003C7754" w:rsidRPr="00954913" w:rsidRDefault="005F2BAA" w:rsidP="003C7754">
      <w:pPr>
        <w:tabs>
          <w:tab w:val="left" w:pos="1306"/>
          <w:tab w:val="left" w:pos="4410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</w:t>
      </w:r>
      <w:r w:rsidR="003C7754" w:rsidRPr="00954913">
        <w:rPr>
          <w:rFonts w:ascii="Segoe UI" w:hAnsi="Segoe UI" w:cs="Segoe UI"/>
          <w:sz w:val="20"/>
          <w:szCs w:val="20"/>
        </w:rPr>
        <w:t>.0</w:t>
      </w:r>
      <w:r w:rsidR="003C7754">
        <w:rPr>
          <w:rFonts w:ascii="Segoe UI" w:hAnsi="Segoe UI" w:cs="Segoe UI"/>
          <w:sz w:val="20"/>
          <w:szCs w:val="20"/>
        </w:rPr>
        <w:t>6</w:t>
      </w:r>
      <w:r w:rsidR="003C7754" w:rsidRPr="00954913">
        <w:rPr>
          <w:rFonts w:ascii="Segoe UI" w:hAnsi="Segoe UI" w:cs="Segoe UI"/>
          <w:sz w:val="20"/>
          <w:szCs w:val="20"/>
        </w:rPr>
        <w:t>.2022</w:t>
      </w:r>
    </w:p>
    <w:p w14:paraId="73EC58CB" w14:textId="77777777" w:rsidR="003C7754" w:rsidRDefault="003C7754" w:rsidP="0060391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D174BD2" w14:textId="77777777" w:rsidR="00571BF0" w:rsidRDefault="005A57ED" w:rsidP="003C2294">
      <w:pPr>
        <w:ind w:firstLine="708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Docenisz,</w:t>
      </w:r>
      <w:r w:rsidR="0068374B">
        <w:rPr>
          <w:rFonts w:ascii="Segoe UI" w:hAnsi="Segoe UI" w:cs="Segoe UI"/>
          <w:b/>
          <w:bCs/>
          <w:sz w:val="22"/>
          <w:szCs w:val="22"/>
        </w:rPr>
        <w:t xml:space="preserve"> gdy wycenisz – czy Polacy są </w:t>
      </w:r>
      <w:r w:rsidR="001D0AE9">
        <w:rPr>
          <w:rFonts w:ascii="Segoe UI" w:hAnsi="Segoe UI" w:cs="Segoe UI"/>
          <w:b/>
          <w:bCs/>
          <w:sz w:val="22"/>
          <w:szCs w:val="22"/>
        </w:rPr>
        <w:t>niedoubezpieczeni</w:t>
      </w:r>
      <w:r w:rsidR="0068374B">
        <w:rPr>
          <w:rFonts w:ascii="Segoe UI" w:hAnsi="Segoe UI" w:cs="Segoe UI"/>
          <w:b/>
          <w:bCs/>
          <w:sz w:val="22"/>
          <w:szCs w:val="22"/>
        </w:rPr>
        <w:t>?</w:t>
      </w:r>
    </w:p>
    <w:p w14:paraId="11C49CAC" w14:textId="77777777" w:rsidR="009624FC" w:rsidRPr="003C7754" w:rsidRDefault="009624FC" w:rsidP="00772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</w:p>
    <w:p w14:paraId="3EBB1CBF" w14:textId="4F71A276" w:rsidR="008F4544" w:rsidRDefault="006411C0" w:rsidP="006411C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411C0">
        <w:rPr>
          <w:rFonts w:ascii="Segoe UI" w:hAnsi="Segoe UI" w:cs="Segoe UI"/>
          <w:b/>
          <w:bCs/>
          <w:sz w:val="20"/>
          <w:szCs w:val="20"/>
        </w:rPr>
        <w:t xml:space="preserve">Ceny </w:t>
      </w:r>
      <w:r>
        <w:rPr>
          <w:rFonts w:ascii="Segoe UI" w:hAnsi="Segoe UI" w:cs="Segoe UI"/>
          <w:b/>
          <w:bCs/>
          <w:sz w:val="20"/>
          <w:szCs w:val="20"/>
        </w:rPr>
        <w:t xml:space="preserve">na rynku mieszkaniowym rosną </w:t>
      </w:r>
      <w:r w:rsidRPr="006411C0">
        <w:rPr>
          <w:rFonts w:ascii="Segoe UI" w:hAnsi="Segoe UI" w:cs="Segoe UI"/>
          <w:b/>
          <w:bCs/>
          <w:sz w:val="20"/>
          <w:szCs w:val="20"/>
        </w:rPr>
        <w:t>z miesiąca na miesiąc</w:t>
      </w:r>
      <w:r w:rsidR="00337383">
        <w:rPr>
          <w:rFonts w:ascii="Segoe UI" w:hAnsi="Segoe UI" w:cs="Segoe UI"/>
          <w:b/>
          <w:bCs/>
          <w:sz w:val="20"/>
          <w:szCs w:val="20"/>
        </w:rPr>
        <w:t>, dotyczy to zarówno wartości nieruchomości, jak i prac remontowo-budowlanych. W</w:t>
      </w:r>
      <w:r>
        <w:rPr>
          <w:rFonts w:ascii="Segoe UI" w:hAnsi="Segoe UI" w:cs="Segoe UI"/>
          <w:b/>
          <w:bCs/>
          <w:sz w:val="20"/>
          <w:szCs w:val="20"/>
        </w:rPr>
        <w:t xml:space="preserve"> ciągu 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zaledwie </w:t>
      </w:r>
      <w:r>
        <w:rPr>
          <w:rFonts w:ascii="Segoe UI" w:hAnsi="Segoe UI" w:cs="Segoe UI"/>
          <w:b/>
          <w:bCs/>
          <w:sz w:val="20"/>
          <w:szCs w:val="20"/>
        </w:rPr>
        <w:t xml:space="preserve">3 lat </w:t>
      </w:r>
      <w:r w:rsidR="003E60FA">
        <w:rPr>
          <w:rFonts w:ascii="Segoe UI" w:hAnsi="Segoe UI" w:cs="Segoe UI"/>
          <w:b/>
          <w:bCs/>
          <w:sz w:val="20"/>
          <w:szCs w:val="20"/>
        </w:rPr>
        <w:t>mediana</w:t>
      </w:r>
      <w:r>
        <w:rPr>
          <w:rFonts w:ascii="Segoe UI" w:hAnsi="Segoe UI" w:cs="Segoe UI"/>
          <w:b/>
          <w:bCs/>
          <w:sz w:val="20"/>
          <w:szCs w:val="20"/>
        </w:rPr>
        <w:t xml:space="preserve"> cen</w:t>
      </w:r>
      <w:r w:rsidR="003E60FA">
        <w:rPr>
          <w:rFonts w:ascii="Segoe UI" w:hAnsi="Segoe UI" w:cs="Segoe UI"/>
          <w:b/>
          <w:bCs/>
          <w:sz w:val="20"/>
          <w:szCs w:val="20"/>
        </w:rPr>
        <w:t>y</w:t>
      </w:r>
      <w:r>
        <w:rPr>
          <w:rFonts w:ascii="Segoe UI" w:hAnsi="Segoe UI" w:cs="Segoe UI"/>
          <w:b/>
          <w:bCs/>
          <w:sz w:val="20"/>
          <w:szCs w:val="20"/>
        </w:rPr>
        <w:t xml:space="preserve"> metra kwadratowego w największych polskich miastach wzrosła o blisko połowę</w:t>
      </w:r>
      <w:r w:rsidR="007152B1">
        <w:rPr>
          <w:rStyle w:val="Odwoanieprzypisudolnego"/>
          <w:rFonts w:ascii="Segoe UI" w:hAnsi="Segoe UI" w:cs="Segoe UI"/>
          <w:b/>
          <w:bCs/>
          <w:sz w:val="20"/>
          <w:szCs w:val="20"/>
        </w:rPr>
        <w:footnoteReference w:id="1"/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 – to oznacza spory wzrost </w:t>
      </w:r>
      <w:r w:rsidRPr="006411C0">
        <w:rPr>
          <w:rFonts w:ascii="Segoe UI" w:hAnsi="Segoe UI" w:cs="Segoe UI"/>
          <w:b/>
          <w:bCs/>
          <w:sz w:val="20"/>
          <w:szCs w:val="20"/>
        </w:rPr>
        <w:t>wartoś</w:t>
      </w:r>
      <w:r w:rsidR="00337383">
        <w:rPr>
          <w:rFonts w:ascii="Segoe UI" w:hAnsi="Segoe UI" w:cs="Segoe UI"/>
          <w:b/>
          <w:bCs/>
          <w:sz w:val="20"/>
          <w:szCs w:val="20"/>
        </w:rPr>
        <w:t>ci</w:t>
      </w:r>
      <w:r w:rsidRPr="006411C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posiadanych </w:t>
      </w:r>
      <w:r>
        <w:rPr>
          <w:rFonts w:ascii="Segoe UI" w:hAnsi="Segoe UI" w:cs="Segoe UI"/>
          <w:b/>
          <w:bCs/>
          <w:sz w:val="20"/>
          <w:szCs w:val="20"/>
        </w:rPr>
        <w:t>nieruchomości</w:t>
      </w:r>
      <w:r w:rsidRPr="006411C0">
        <w:rPr>
          <w:rFonts w:ascii="Segoe UI" w:hAnsi="Segoe UI" w:cs="Segoe UI"/>
          <w:b/>
          <w:bCs/>
          <w:sz w:val="20"/>
          <w:szCs w:val="20"/>
        </w:rPr>
        <w:t xml:space="preserve">. </w:t>
      </w:r>
      <w:r>
        <w:rPr>
          <w:rFonts w:ascii="Segoe UI" w:hAnsi="Segoe UI" w:cs="Segoe UI"/>
          <w:b/>
          <w:bCs/>
          <w:sz w:val="20"/>
          <w:szCs w:val="20"/>
        </w:rPr>
        <w:t xml:space="preserve">Jednak w wielu przypadkach </w:t>
      </w:r>
      <w:r w:rsidRPr="006411C0">
        <w:rPr>
          <w:rFonts w:ascii="Segoe UI" w:hAnsi="Segoe UI" w:cs="Segoe UI"/>
          <w:b/>
          <w:bCs/>
          <w:sz w:val="20"/>
          <w:szCs w:val="20"/>
        </w:rPr>
        <w:t>sum</w:t>
      </w:r>
      <w:r w:rsidR="00337383">
        <w:rPr>
          <w:rFonts w:ascii="Segoe UI" w:hAnsi="Segoe UI" w:cs="Segoe UI"/>
          <w:b/>
          <w:bCs/>
          <w:sz w:val="20"/>
          <w:szCs w:val="20"/>
        </w:rPr>
        <w:t>y</w:t>
      </w:r>
      <w:r w:rsidRPr="006411C0">
        <w:rPr>
          <w:rFonts w:ascii="Segoe UI" w:hAnsi="Segoe UI" w:cs="Segoe UI"/>
          <w:b/>
          <w:bCs/>
          <w:sz w:val="20"/>
          <w:szCs w:val="20"/>
        </w:rPr>
        <w:t xml:space="preserve"> ubezpiecze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ń na polisie </w:t>
      </w:r>
      <w:r>
        <w:rPr>
          <w:rFonts w:ascii="Segoe UI" w:hAnsi="Segoe UI" w:cs="Segoe UI"/>
          <w:b/>
          <w:bCs/>
          <w:sz w:val="20"/>
          <w:szCs w:val="20"/>
        </w:rPr>
        <w:t>mieszkania czy domu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 od lat</w:t>
      </w:r>
      <w:r w:rsidRPr="006411C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pozostają bez zmian i już </w:t>
      </w:r>
      <w:r w:rsidRPr="006411C0">
        <w:rPr>
          <w:rFonts w:ascii="Segoe UI" w:hAnsi="Segoe UI" w:cs="Segoe UI"/>
          <w:b/>
          <w:bCs/>
          <w:sz w:val="20"/>
          <w:szCs w:val="20"/>
        </w:rPr>
        <w:t>nie odpowiada</w:t>
      </w:r>
      <w:r w:rsidR="00337383">
        <w:rPr>
          <w:rFonts w:ascii="Segoe UI" w:hAnsi="Segoe UI" w:cs="Segoe UI"/>
          <w:b/>
          <w:bCs/>
          <w:sz w:val="20"/>
          <w:szCs w:val="20"/>
        </w:rPr>
        <w:t>ją</w:t>
      </w:r>
      <w:r w:rsidRPr="006411C0">
        <w:rPr>
          <w:rFonts w:ascii="Segoe UI" w:hAnsi="Segoe UI" w:cs="Segoe UI"/>
          <w:b/>
          <w:bCs/>
          <w:sz w:val="20"/>
          <w:szCs w:val="20"/>
        </w:rPr>
        <w:t xml:space="preserve"> obecnemu poziomowi cen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 oraz kosztów</w:t>
      </w:r>
      <w:r>
        <w:rPr>
          <w:rFonts w:ascii="Segoe UI" w:hAnsi="Segoe UI" w:cs="Segoe UI"/>
          <w:b/>
          <w:bCs/>
          <w:sz w:val="20"/>
          <w:szCs w:val="20"/>
        </w:rPr>
        <w:t>.</w:t>
      </w:r>
      <w:r w:rsidR="0033738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43847">
        <w:rPr>
          <w:rFonts w:ascii="Segoe UI" w:hAnsi="Segoe UI" w:cs="Segoe UI"/>
          <w:b/>
          <w:bCs/>
          <w:sz w:val="20"/>
          <w:szCs w:val="20"/>
        </w:rPr>
        <w:t>To zjawisko nazywane jest luką ubezpieczeniową, a firma Wiener postanowiła sprawdzić jak poważnym problemem dla Polaków jest niedoubezpieczenie majątku.</w:t>
      </w:r>
    </w:p>
    <w:p w14:paraId="2B4A8FF3" w14:textId="77777777" w:rsidR="003B0089" w:rsidRDefault="003B0089" w:rsidP="002D2C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66811878" w14:textId="77777777" w:rsidR="00052AFE" w:rsidRDefault="00B43847" w:rsidP="002D2C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 badania wykonanego na zlecenie Wiener przez SW Research wynika, że podczas zakupu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polisy na dom lub mieszkanie badani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najwięcej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uwag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poświęcają temu jaki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zakres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 oferowane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ubezpieczeni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(68%) oraz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jaka jest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wysokość składki, którą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finalnie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muszą zapłacić (67%). W dalszej kolejności wskaz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ana została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sum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ubezpieczenia na poszczególne zdarzenia (47%). Nieco mniej istotnym aspektem przy wyborze polisy jest firma, od której j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est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kup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owane ubezpieczenie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(30%).</w:t>
      </w:r>
    </w:p>
    <w:p w14:paraId="0194A078" w14:textId="379343CC" w:rsidR="00052AFE" w:rsidRDefault="00052AFE" w:rsidP="005D2485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279CAE58" w14:textId="688044BB" w:rsidR="005F2BAA" w:rsidRDefault="005F2BAA" w:rsidP="005D2485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D9BA97" wp14:editId="3671BC99">
            <wp:extent cx="3513631" cy="3513631"/>
            <wp:effectExtent l="0" t="0" r="444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71" cy="353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CC26" w14:textId="3FEFD919" w:rsidR="00B43847" w:rsidRDefault="00B43847" w:rsidP="002D2C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79BE146C" w14:textId="7C1D59E0" w:rsidR="005D2485" w:rsidRDefault="00B43847" w:rsidP="0063268E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Ponad połowa respondentów 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deklar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owała</w:t>
      </w:r>
      <w:r w:rsidRPr="00B438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że sprawdziła wartość swojej nieruchomości zanim wykupiła polisę i ustaliła sumę, na jaką ją ubezpieczy (57%).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¼ badanych przed kupieniem polisy nie </w:t>
      </w:r>
      <w:r w:rsidR="005A57E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sprawdziła,</w:t>
      </w:r>
      <w:r w:rsidR="00052A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ile obecnie warta jest ich nieruchomość.</w:t>
      </w:r>
      <w:r w:rsidR="0008201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Jednak wśród większości Polaków jest poczucie, że wartość ich nieruchomości w ciągu ostatnich 5 lat wzrosła – takiej odpowiedzi udzieliło 53% badanych</w:t>
      </w:r>
      <w:r w:rsidR="005D24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5D24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40% badanych uważa, że wartość ich mieszkania czy domu jest od kilku lat na podobnym poziomie. Wśród tych, którzy zauważyli wzrosty cen na rynku, 35% uważa, że ich nieruchomość jest warta 10-20% więcej niż 5 lat temu, ¼ ocenia wzrost na 20-30%, a 17% jest zdania, że ich nieruchomość zyskała na wartości ponad 30%.</w:t>
      </w:r>
    </w:p>
    <w:p w14:paraId="0C225E16" w14:textId="55CE6772" w:rsidR="005D2485" w:rsidRDefault="005D2485" w:rsidP="005D2485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1D80265F" w14:textId="5AD85892" w:rsidR="005D2485" w:rsidRDefault="0063268E" w:rsidP="005D2485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inline distT="0" distB="0" distL="0" distR="0" wp14:anchorId="38CAB367" wp14:editId="2E0598C5">
            <wp:extent cx="3365770" cy="33657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363" cy="341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66B8" w14:textId="77777777" w:rsidR="0063268E" w:rsidRDefault="0063268E" w:rsidP="00EC5E38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584CBCB6" w14:textId="2FA4FC90" w:rsidR="005D2485" w:rsidRDefault="009F2601" w:rsidP="00EC5E38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Mimo że cen</w:t>
      </w:r>
      <w:r w:rsidR="003C2294">
        <w:rPr>
          <w:rFonts w:ascii="Segoe UI" w:hAnsi="Segoe UI" w:cs="Segoe UI"/>
          <w:color w:val="000000" w:themeColor="text1"/>
          <w:sz w:val="20"/>
          <w:szCs w:val="20"/>
        </w:rPr>
        <w:t>a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metra kwadratowego na rynku wtórnym w większości dużych polskich miast </w:t>
      </w:r>
      <w:r w:rsidR="007152B1">
        <w:rPr>
          <w:rFonts w:ascii="Segoe UI" w:hAnsi="Segoe UI" w:cs="Segoe UI"/>
          <w:color w:val="000000" w:themeColor="text1"/>
          <w:sz w:val="20"/>
          <w:szCs w:val="20"/>
        </w:rPr>
        <w:t xml:space="preserve">przekroczyła lub </w:t>
      </w:r>
      <w:r w:rsidR="00F723A2">
        <w:rPr>
          <w:rFonts w:ascii="Segoe UI" w:hAnsi="Segoe UI" w:cs="Segoe UI"/>
          <w:color w:val="000000" w:themeColor="text1"/>
          <w:sz w:val="20"/>
          <w:szCs w:val="20"/>
        </w:rPr>
        <w:t>jest bliska</w:t>
      </w:r>
      <w:r w:rsidR="007152B1">
        <w:rPr>
          <w:rFonts w:ascii="Segoe UI" w:hAnsi="Segoe UI" w:cs="Segoe UI"/>
          <w:color w:val="000000" w:themeColor="text1"/>
          <w:sz w:val="20"/>
          <w:szCs w:val="20"/>
        </w:rPr>
        <w:t xml:space="preserve"> 10 tysięcy złotych</w:t>
      </w:r>
      <w:r w:rsidR="007152B1">
        <w:rPr>
          <w:rStyle w:val="Odwoanieprzypisudolnego"/>
          <w:rFonts w:ascii="Segoe UI" w:hAnsi="Segoe UI" w:cs="Segoe UI"/>
          <w:color w:val="000000" w:themeColor="text1"/>
          <w:sz w:val="20"/>
          <w:szCs w:val="20"/>
        </w:rPr>
        <w:footnoteReference w:id="2"/>
      </w:r>
      <w:r w:rsidR="00F723A2">
        <w:rPr>
          <w:rFonts w:ascii="Segoe UI" w:hAnsi="Segoe UI" w:cs="Segoe UI"/>
          <w:color w:val="000000" w:themeColor="text1"/>
          <w:sz w:val="20"/>
          <w:szCs w:val="20"/>
        </w:rPr>
        <w:t>, to sumy na jakie ubezpieczone są nieruchomości Polaków nie wskazują, aby odpowiadały one obecnej ich wartości. 18% badanych ubezpieczyło swoje mieszkanie lub dom na mniej niż 200 tysięcy złotych, 22% wybrało sumę z zakresu między 200 a 300 tysięcy złotych, kolejne 20% ubezpieczyło swoją nieruchomość w przedziale 300-450 tysięcy złotych.</w:t>
      </w:r>
      <w:r w:rsidR="0056712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723A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152B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12F086C9" w14:textId="77777777" w:rsidR="00F723A2" w:rsidRDefault="00F723A2" w:rsidP="006A329E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306F7961" w14:textId="77777777" w:rsidR="00F723A2" w:rsidRPr="005D2485" w:rsidRDefault="0056712F" w:rsidP="00EC5E38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Jednak w badaniu aż 60% respondentów uważa, że ich mieszkanie jest ubezpieczone na adekwatną wartość. Łącznie aż 1/3 jest zdania, że suma ich ubezpieczenia jest mniejsza lub zdecydowanie mniejsza niż wartość posiadanej nieruchomości. To pokazuje, że nawet n</w:t>
      </w:r>
      <w:r w:rsidR="003D69C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poziomie deklaracji duża grupa Polaków ma świadomość, że ich ubezpieczenie nie jest dopasowane do wartości majątku.</w:t>
      </w:r>
    </w:p>
    <w:p w14:paraId="3F904618" w14:textId="77777777" w:rsidR="00AC381B" w:rsidRPr="003C7754" w:rsidRDefault="002D245A" w:rsidP="00AC381B">
      <w:pPr>
        <w:pStyle w:val="NormalnyWeb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Agenci bardzo ważnym </w:t>
      </w:r>
      <w:r w:rsidR="0068374B">
        <w:rPr>
          <w:rFonts w:ascii="Segoe UI" w:hAnsi="Segoe UI" w:cs="Segoe UI"/>
          <w:b/>
          <w:bCs/>
          <w:color w:val="000000" w:themeColor="text1"/>
          <w:sz w:val="20"/>
          <w:szCs w:val="20"/>
        </w:rPr>
        <w:t>źródłem wiedzy</w:t>
      </w:r>
    </w:p>
    <w:p w14:paraId="1CDDE7FA" w14:textId="77777777" w:rsidR="008B0300" w:rsidRDefault="003D69C6" w:rsidP="00432F85">
      <w:pPr>
        <w:pStyle w:val="NormalnyWeb"/>
        <w:jc w:val="both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Bardzo istotną rolę w poprawianiu wiedzy i świadomości klientów, a tym samym likwidacji </w:t>
      </w:r>
      <w:r w:rsidR="001D0AE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niedoubezpieczenia</w:t>
      </w: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mogą pełnić agenci. Dla wielu klientów są oni zaufanymi doradcami, ekspertami, na których wiedzy i doświadczeniu klienci polegają.</w:t>
      </w:r>
      <w:r w:rsidR="00FE4631">
        <w:rPr>
          <w:rFonts w:ascii="Segoe UI" w:hAnsi="Segoe UI" w:cs="Segoe UI"/>
          <w:color w:val="222222"/>
          <w:sz w:val="20"/>
          <w:szCs w:val="20"/>
        </w:rPr>
        <w:t xml:space="preserve"> </w:t>
      </w:r>
    </w:p>
    <w:p w14:paraId="081932D2" w14:textId="77777777" w:rsidR="0065759F" w:rsidRPr="008B0300" w:rsidRDefault="00E22326" w:rsidP="00432F85">
      <w:pPr>
        <w:pStyle w:val="NormalnyWeb"/>
        <w:jc w:val="both"/>
        <w:rPr>
          <w:rFonts w:ascii="Segoe UI" w:hAnsi="Segoe UI" w:cs="Segoe UI"/>
          <w:color w:val="222222"/>
          <w:sz w:val="20"/>
          <w:szCs w:val="20"/>
        </w:rPr>
      </w:pPr>
      <w:r w:rsidRPr="003C7754">
        <w:rPr>
          <w:rFonts w:ascii="Segoe UI" w:hAnsi="Segoe UI" w:cs="Segoe UI"/>
          <w:color w:val="222222"/>
          <w:sz w:val="20"/>
          <w:szCs w:val="20"/>
        </w:rPr>
        <w:t xml:space="preserve">- </w:t>
      </w:r>
      <w:r w:rsidR="003D69C6">
        <w:rPr>
          <w:rFonts w:ascii="Segoe UI" w:hAnsi="Segoe UI" w:cs="Segoe UI"/>
          <w:color w:val="222222"/>
          <w:sz w:val="20"/>
          <w:szCs w:val="20"/>
        </w:rPr>
        <w:t>Z</w:t>
      </w:r>
      <w:r w:rsidR="003D69C6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naszego badania wynika, że ponad 1/3 uczestników ustalając wysokość sumy ubezpieczenia kierowała się sugestiami agenta, u którego polisa była zawierana. </w:t>
      </w:r>
      <w:r w:rsidR="00FE4631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To daje </w:t>
      </w:r>
      <w:r w:rsidR="00386680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agentom </w:t>
      </w:r>
      <w:r w:rsidR="00FE4631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ogromne pole do szerzenia wiedzy na temat luki ubezpieczeniowej i uświadamianiu klientów czym grozi niedoubezpieczenie. Odpowiednia wysokość sum na polisie gwarantuje, że w razie nieszczęśliwego zdarzenia będziemy w stanie przywrócić lokal do poprzedniego stanu bez angażowania własnych środków. Coroczna aktualizacja sum </w:t>
      </w:r>
      <w:r w:rsidR="00FE4631">
        <w:rPr>
          <w:rFonts w:ascii="Segoe UI" w:hAnsi="Segoe UI" w:cs="Segoe UI"/>
          <w:i/>
          <w:iCs/>
          <w:color w:val="000000" w:themeColor="text1"/>
          <w:sz w:val="20"/>
          <w:szCs w:val="20"/>
        </w:rPr>
        <w:lastRenderedPageBreak/>
        <w:t xml:space="preserve">jest tym bardziej konieczna w obecnych </w:t>
      </w:r>
      <w:r w:rsidR="005A57ED">
        <w:rPr>
          <w:rFonts w:ascii="Segoe UI" w:hAnsi="Segoe UI" w:cs="Segoe UI"/>
          <w:i/>
          <w:iCs/>
          <w:color w:val="000000" w:themeColor="text1"/>
          <w:sz w:val="20"/>
          <w:szCs w:val="20"/>
        </w:rPr>
        <w:t>czasach,</w:t>
      </w:r>
      <w:r w:rsidR="00FE4631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gdy inflacja, ceny materiałów budowalnych i prac remontowych tak szybko rosną </w:t>
      </w:r>
      <w:r w:rsidR="00AD1580" w:rsidRPr="003C7754">
        <w:rPr>
          <w:rFonts w:ascii="Segoe UI" w:hAnsi="Segoe UI" w:cs="Segoe UI"/>
          <w:i/>
          <w:iCs/>
          <w:sz w:val="20"/>
          <w:szCs w:val="20"/>
        </w:rPr>
        <w:t xml:space="preserve">– </w:t>
      </w:r>
      <w:r w:rsidR="00AD1580" w:rsidRPr="001D0AE9">
        <w:rPr>
          <w:rFonts w:ascii="Segoe UI" w:hAnsi="Segoe UI" w:cs="Segoe UI"/>
          <w:b/>
          <w:sz w:val="20"/>
          <w:szCs w:val="20"/>
        </w:rPr>
        <w:t xml:space="preserve">zauważa </w:t>
      </w:r>
      <w:r w:rsidR="001D0AE9" w:rsidRPr="001D0AE9">
        <w:rPr>
          <w:rFonts w:ascii="Segoe UI" w:hAnsi="Segoe UI" w:cs="Segoe UI"/>
          <w:b/>
          <w:sz w:val="20"/>
          <w:szCs w:val="20"/>
        </w:rPr>
        <w:t>Agnieszka Włodarska-Poloczek</w:t>
      </w:r>
      <w:r w:rsidR="00F549B1" w:rsidRPr="001D0AE9">
        <w:rPr>
          <w:rFonts w:ascii="Segoe UI" w:hAnsi="Segoe UI" w:cs="Segoe UI"/>
          <w:b/>
          <w:color w:val="000000" w:themeColor="text1"/>
          <w:sz w:val="20"/>
          <w:szCs w:val="20"/>
        </w:rPr>
        <w:t>, ekspert Wiener</w:t>
      </w:r>
      <w:r w:rsidR="00AD1580" w:rsidRPr="003C7754">
        <w:rPr>
          <w:rFonts w:ascii="Segoe UI" w:hAnsi="Segoe UI" w:cs="Segoe UI"/>
          <w:sz w:val="20"/>
          <w:szCs w:val="20"/>
        </w:rPr>
        <w:t>.</w:t>
      </w:r>
      <w:r w:rsidR="00AD1580" w:rsidRPr="003C7754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49BF6354" w14:textId="63702173" w:rsidR="005F6BB0" w:rsidRDefault="00386680" w:rsidP="0076474B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 badania wykonanego dla firmy Wiener przez SW Research wynika, że tylko 1/3 </w:t>
      </w:r>
      <w:r w:rsidR="005F6BB0">
        <w:rPr>
          <w:rFonts w:ascii="Segoe UI" w:hAnsi="Segoe UI" w:cs="Segoe UI"/>
          <w:sz w:val="20"/>
          <w:szCs w:val="20"/>
        </w:rPr>
        <w:t xml:space="preserve">respondentów </w:t>
      </w:r>
      <w:r w:rsidR="005A57ED">
        <w:rPr>
          <w:rFonts w:ascii="Segoe UI" w:hAnsi="Segoe UI" w:cs="Segoe UI"/>
          <w:sz w:val="20"/>
          <w:szCs w:val="20"/>
        </w:rPr>
        <w:t>wie,</w:t>
      </w:r>
      <w:r w:rsidR="005F6BB0">
        <w:rPr>
          <w:rFonts w:ascii="Segoe UI" w:hAnsi="Segoe UI" w:cs="Segoe UI"/>
          <w:sz w:val="20"/>
          <w:szCs w:val="20"/>
        </w:rPr>
        <w:t xml:space="preserve"> ile może kosztować przywrócenie mieszkania do poprzedniego stanu na przykład po pożarze lub zalaniu. Ponad połowa odpowiedziała, że nie wie lub wybrała odpowiedź trudno powiedzieć zapytana o to</w:t>
      </w:r>
      <w:r w:rsidR="00ED082A">
        <w:rPr>
          <w:rFonts w:ascii="Segoe UI" w:hAnsi="Segoe UI" w:cs="Segoe UI"/>
          <w:sz w:val="20"/>
          <w:szCs w:val="20"/>
        </w:rPr>
        <w:t>,</w:t>
      </w:r>
      <w:r w:rsidR="005F6BB0">
        <w:rPr>
          <w:rFonts w:ascii="Segoe UI" w:hAnsi="Segoe UI" w:cs="Segoe UI"/>
          <w:sz w:val="20"/>
          <w:szCs w:val="20"/>
        </w:rPr>
        <w:t xml:space="preserve"> jaką kwotą dysponuje w ramach polisy w razie konieczności remontu. </w:t>
      </w:r>
      <w:r w:rsidR="0076474B" w:rsidRPr="0076474B">
        <w:rPr>
          <w:rFonts w:ascii="Segoe UI" w:hAnsi="Segoe UI" w:cs="Segoe UI"/>
          <w:sz w:val="20"/>
          <w:szCs w:val="20"/>
        </w:rPr>
        <w:t xml:space="preserve">Niemal 2/3 badanych deklaruje, że ubezpieczenie ich nieruchomości obejmuje też wyposażenie i sprzęty (65%), przy czym 34% uważa, że ubezpieczenie to odpowiada wartości sprzętów, a 31% jest przeciwnego zdania. </w:t>
      </w:r>
      <w:r w:rsidR="0076474B">
        <w:rPr>
          <w:rFonts w:ascii="Segoe UI" w:hAnsi="Segoe UI" w:cs="Segoe UI"/>
          <w:sz w:val="20"/>
          <w:szCs w:val="20"/>
        </w:rPr>
        <w:t>Jednak p</w:t>
      </w:r>
      <w:r w:rsidR="0076474B" w:rsidRPr="0076474B">
        <w:rPr>
          <w:rFonts w:ascii="Segoe UI" w:hAnsi="Segoe UI" w:cs="Segoe UI"/>
          <w:sz w:val="20"/>
          <w:szCs w:val="20"/>
        </w:rPr>
        <w:t>rawie połowa respondentów kupując ubezpieczenie, nie wycenia szczegółowo wartości swojego majątku ruchomego (47%), natomiast działania takie podejmuje 29% osób posiadających polisę na dom lub mieszkanie.</w:t>
      </w:r>
      <w:r w:rsidR="0076474B">
        <w:rPr>
          <w:rFonts w:ascii="Segoe UI" w:hAnsi="Segoe UI" w:cs="Segoe UI"/>
          <w:sz w:val="20"/>
          <w:szCs w:val="20"/>
        </w:rPr>
        <w:t xml:space="preserve"> </w:t>
      </w:r>
      <w:r w:rsidR="0076474B" w:rsidRPr="0076474B">
        <w:rPr>
          <w:rFonts w:ascii="Segoe UI" w:hAnsi="Segoe UI" w:cs="Segoe UI"/>
          <w:sz w:val="20"/>
          <w:szCs w:val="20"/>
        </w:rPr>
        <w:t xml:space="preserve">Ogólnie 64% Polaków ma ubezpieczenie domu lub mieszkania, a kolejne 16% planuje kupić je w najbliższej przyszłości.    </w:t>
      </w:r>
    </w:p>
    <w:p w14:paraId="4E525A77" w14:textId="6760FF80" w:rsidR="005F6BB0" w:rsidRDefault="0063268E" w:rsidP="005F6BB0">
      <w:pPr>
        <w:pStyle w:val="NormalnyWeb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F36C03F" wp14:editId="6D9D651D">
            <wp:extent cx="3348261" cy="3348261"/>
            <wp:effectExtent l="0" t="0" r="508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72" cy="33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75F9" w14:textId="77777777" w:rsidR="00E447D9" w:rsidRPr="005F6BB0" w:rsidRDefault="005F6BB0" w:rsidP="005F6BB0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Jednak s</w:t>
      </w:r>
      <w:r w:rsidR="00386680">
        <w:rPr>
          <w:rFonts w:ascii="Segoe UI" w:hAnsi="Segoe UI" w:cs="Segoe UI"/>
          <w:sz w:val="20"/>
          <w:szCs w:val="20"/>
        </w:rPr>
        <w:t xml:space="preserve">ytuację na rynku i potrzebę dopasowania sumy ubezpieczenia do obecnych wycen zdaje się zauważać coraz więcej osób. Wśród badanych blisko połowa planuje przyjrzeć się wysokości sumy na swojej polisie. </w:t>
      </w:r>
    </w:p>
    <w:p w14:paraId="776BBD20" w14:textId="77777777" w:rsidR="00E447D9" w:rsidRDefault="00E447D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7B437580" w14:textId="77777777" w:rsidR="001D0AE9" w:rsidRDefault="001D0AE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65FF9986" w14:textId="77777777" w:rsidR="001D0AE9" w:rsidRPr="00E447D9" w:rsidRDefault="001D0AE9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19B1846C" w14:textId="77777777" w:rsidR="00E447D9" w:rsidRDefault="0017700F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O badaniu:</w:t>
      </w:r>
    </w:p>
    <w:p w14:paraId="4A31D570" w14:textId="77777777" w:rsidR="0017700F" w:rsidRPr="003C7754" w:rsidRDefault="0017700F" w:rsidP="002D2C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17700F">
        <w:rPr>
          <w:rFonts w:ascii="Segoe UI" w:hAnsi="Segoe UI" w:cs="Segoe UI"/>
          <w:color w:val="000000" w:themeColor="text1"/>
          <w:sz w:val="20"/>
          <w:szCs w:val="20"/>
        </w:rPr>
        <w:t>Badanie zostało zrealizowane w dniach 19.05.2022 - 26.05.2022 przez SW RESEARCH Agencję Badań Rynku i Opinii metodą wywiadów online (CAWI) na panelu internetowym SW Panel.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7700F">
        <w:rPr>
          <w:rFonts w:ascii="Segoe UI" w:hAnsi="Segoe UI" w:cs="Segoe UI"/>
          <w:color w:val="000000" w:themeColor="text1"/>
          <w:sz w:val="20"/>
          <w:szCs w:val="20"/>
        </w:rPr>
        <w:t>W ramach badania przeprowadzono 2000 ankiet z reprezentatywną próbą Polaków w wieku 18-65 lat.</w:t>
      </w:r>
    </w:p>
    <w:sectPr w:rsidR="0017700F" w:rsidRPr="003C77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8841" w14:textId="77777777" w:rsidR="006448D5" w:rsidRDefault="006448D5" w:rsidP="0065759F">
      <w:r>
        <w:separator/>
      </w:r>
    </w:p>
  </w:endnote>
  <w:endnote w:type="continuationSeparator" w:id="0">
    <w:p w14:paraId="5FE24E34" w14:textId="77777777" w:rsidR="006448D5" w:rsidRDefault="006448D5" w:rsidP="006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BBAC" w14:textId="77777777" w:rsidR="006448D5" w:rsidRDefault="006448D5" w:rsidP="0065759F">
      <w:r>
        <w:separator/>
      </w:r>
    </w:p>
  </w:footnote>
  <w:footnote w:type="continuationSeparator" w:id="0">
    <w:p w14:paraId="5BC77100" w14:textId="77777777" w:rsidR="006448D5" w:rsidRDefault="006448D5" w:rsidP="0065759F">
      <w:r>
        <w:continuationSeparator/>
      </w:r>
    </w:p>
  </w:footnote>
  <w:footnote w:id="1">
    <w:p w14:paraId="0D548215" w14:textId="77777777" w:rsidR="007152B1" w:rsidRPr="007152B1" w:rsidRDefault="007152B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152B1">
        <w:rPr>
          <w:lang w:val="en-US"/>
        </w:rPr>
        <w:t xml:space="preserve"> Evaluer Index 2022, Emmerson Evaluation, p</w:t>
      </w:r>
      <w:r>
        <w:rPr>
          <w:lang w:val="en-US"/>
        </w:rPr>
        <w:t>orównanie cen za okres 2018 i 2021</w:t>
      </w:r>
    </w:p>
  </w:footnote>
  <w:footnote w:id="2">
    <w:p w14:paraId="7E0F198C" w14:textId="77777777" w:rsidR="007152B1" w:rsidRPr="007152B1" w:rsidRDefault="007152B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152B1">
        <w:rPr>
          <w:lang w:val="en-US"/>
        </w:rPr>
        <w:t xml:space="preserve"> </w:t>
      </w:r>
      <w:r>
        <w:rPr>
          <w:lang w:val="en-US"/>
        </w:rPr>
        <w:t xml:space="preserve">Raport </w:t>
      </w:r>
      <w:r w:rsidR="00DB0A6D">
        <w:rPr>
          <w:lang w:val="en-US"/>
        </w:rPr>
        <w:t>Expander i rentier io za kwiecień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A79B" w14:textId="77777777" w:rsidR="003C7754" w:rsidRDefault="001D0AE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B134C" wp14:editId="2860316A">
          <wp:simplePos x="0" y="0"/>
          <wp:positionH relativeFrom="page">
            <wp:align>left</wp:align>
          </wp:positionH>
          <wp:positionV relativeFrom="page">
            <wp:posOffset>9724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0AAFE" w14:textId="77777777" w:rsidR="001D0AE9" w:rsidRDefault="001D0AE9">
    <w:pPr>
      <w:pStyle w:val="Nagwek"/>
      <w:rPr>
        <w:noProof/>
      </w:rPr>
    </w:pPr>
  </w:p>
  <w:p w14:paraId="41BCA944" w14:textId="77777777" w:rsidR="001D0AE9" w:rsidRDefault="001D0AE9">
    <w:pPr>
      <w:pStyle w:val="Nagwek"/>
      <w:rPr>
        <w:noProof/>
      </w:rPr>
    </w:pPr>
  </w:p>
  <w:p w14:paraId="7DB66B1E" w14:textId="77777777" w:rsidR="001D0AE9" w:rsidRDefault="001D0AE9">
    <w:pPr>
      <w:pStyle w:val="Nagwek"/>
      <w:rPr>
        <w:noProof/>
      </w:rPr>
    </w:pPr>
  </w:p>
  <w:p w14:paraId="5A3860CC" w14:textId="77777777" w:rsidR="001D0AE9" w:rsidRPr="001D0AE9" w:rsidRDefault="001D0AE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55"/>
    <w:multiLevelType w:val="hybridMultilevel"/>
    <w:tmpl w:val="5B22BD1A"/>
    <w:lvl w:ilvl="0" w:tplc="29AE5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07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43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07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01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6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E6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C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2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41"/>
    <w:multiLevelType w:val="hybridMultilevel"/>
    <w:tmpl w:val="D934609C"/>
    <w:lvl w:ilvl="0" w:tplc="DB8C0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4AD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5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46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EE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0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A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2D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0C4"/>
    <w:multiLevelType w:val="multilevel"/>
    <w:tmpl w:val="49CC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72B22"/>
    <w:multiLevelType w:val="hybridMultilevel"/>
    <w:tmpl w:val="FFF02928"/>
    <w:lvl w:ilvl="0" w:tplc="70307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A1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A6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8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7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87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4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A4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E6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771835">
    <w:abstractNumId w:val="2"/>
  </w:num>
  <w:num w:numId="2" w16cid:durableId="944456136">
    <w:abstractNumId w:val="3"/>
  </w:num>
  <w:num w:numId="3" w16cid:durableId="434787126">
    <w:abstractNumId w:val="1"/>
  </w:num>
  <w:num w:numId="4" w16cid:durableId="97486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27"/>
    <w:rsid w:val="000010D8"/>
    <w:rsid w:val="00050E7E"/>
    <w:rsid w:val="00052AFE"/>
    <w:rsid w:val="0008201D"/>
    <w:rsid w:val="000976E4"/>
    <w:rsid w:val="000B01B0"/>
    <w:rsid w:val="000E579D"/>
    <w:rsid w:val="00172C20"/>
    <w:rsid w:val="0017700F"/>
    <w:rsid w:val="001B5139"/>
    <w:rsid w:val="001D0AE9"/>
    <w:rsid w:val="00231D43"/>
    <w:rsid w:val="00261020"/>
    <w:rsid w:val="002B20C4"/>
    <w:rsid w:val="002C318C"/>
    <w:rsid w:val="002D245A"/>
    <w:rsid w:val="002D2C60"/>
    <w:rsid w:val="002D31BB"/>
    <w:rsid w:val="00330B1A"/>
    <w:rsid w:val="00332250"/>
    <w:rsid w:val="00337383"/>
    <w:rsid w:val="003414EB"/>
    <w:rsid w:val="003441F3"/>
    <w:rsid w:val="003563A1"/>
    <w:rsid w:val="003772E5"/>
    <w:rsid w:val="00386680"/>
    <w:rsid w:val="0039651C"/>
    <w:rsid w:val="003B0089"/>
    <w:rsid w:val="003C2294"/>
    <w:rsid w:val="003C7754"/>
    <w:rsid w:val="003D69C6"/>
    <w:rsid w:val="003E60FA"/>
    <w:rsid w:val="0041720A"/>
    <w:rsid w:val="00432F85"/>
    <w:rsid w:val="0043733C"/>
    <w:rsid w:val="004422F7"/>
    <w:rsid w:val="004D1C8B"/>
    <w:rsid w:val="0056712F"/>
    <w:rsid w:val="00571BF0"/>
    <w:rsid w:val="005764BD"/>
    <w:rsid w:val="00584CB8"/>
    <w:rsid w:val="005977A1"/>
    <w:rsid w:val="005A57ED"/>
    <w:rsid w:val="005D2485"/>
    <w:rsid w:val="005F2BAA"/>
    <w:rsid w:val="005F6BB0"/>
    <w:rsid w:val="00603914"/>
    <w:rsid w:val="0063268E"/>
    <w:rsid w:val="006411C0"/>
    <w:rsid w:val="006448D5"/>
    <w:rsid w:val="0065759F"/>
    <w:rsid w:val="006717E8"/>
    <w:rsid w:val="0067792B"/>
    <w:rsid w:val="00680F85"/>
    <w:rsid w:val="0068374B"/>
    <w:rsid w:val="006A329E"/>
    <w:rsid w:val="006D0336"/>
    <w:rsid w:val="006E4182"/>
    <w:rsid w:val="007152B1"/>
    <w:rsid w:val="00762122"/>
    <w:rsid w:val="0076474B"/>
    <w:rsid w:val="007720BD"/>
    <w:rsid w:val="007C5DE5"/>
    <w:rsid w:val="007F463B"/>
    <w:rsid w:val="00802655"/>
    <w:rsid w:val="00861BC6"/>
    <w:rsid w:val="0087626A"/>
    <w:rsid w:val="00885D4C"/>
    <w:rsid w:val="008B0300"/>
    <w:rsid w:val="008F4544"/>
    <w:rsid w:val="008F68ED"/>
    <w:rsid w:val="009048F8"/>
    <w:rsid w:val="00951231"/>
    <w:rsid w:val="009624FC"/>
    <w:rsid w:val="009B3D13"/>
    <w:rsid w:val="009F2601"/>
    <w:rsid w:val="00A341AE"/>
    <w:rsid w:val="00A753C3"/>
    <w:rsid w:val="00A930E0"/>
    <w:rsid w:val="00AC381B"/>
    <w:rsid w:val="00AD1580"/>
    <w:rsid w:val="00B43847"/>
    <w:rsid w:val="00B8739C"/>
    <w:rsid w:val="00BB4964"/>
    <w:rsid w:val="00BC3073"/>
    <w:rsid w:val="00BD7489"/>
    <w:rsid w:val="00C55F0D"/>
    <w:rsid w:val="00C6611F"/>
    <w:rsid w:val="00CD3784"/>
    <w:rsid w:val="00CF16EE"/>
    <w:rsid w:val="00D15479"/>
    <w:rsid w:val="00DA77B2"/>
    <w:rsid w:val="00DA7F01"/>
    <w:rsid w:val="00DB0A6D"/>
    <w:rsid w:val="00DF689F"/>
    <w:rsid w:val="00E22326"/>
    <w:rsid w:val="00E24F7A"/>
    <w:rsid w:val="00E30A09"/>
    <w:rsid w:val="00E447D9"/>
    <w:rsid w:val="00E64DE6"/>
    <w:rsid w:val="00EC3C57"/>
    <w:rsid w:val="00EC5E38"/>
    <w:rsid w:val="00ED082A"/>
    <w:rsid w:val="00F00AB5"/>
    <w:rsid w:val="00F41AA1"/>
    <w:rsid w:val="00F549B1"/>
    <w:rsid w:val="00F61727"/>
    <w:rsid w:val="00F723A2"/>
    <w:rsid w:val="00FB1185"/>
    <w:rsid w:val="00FB20A0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9A491"/>
  <w15:chartTrackingRefBased/>
  <w15:docId w15:val="{5202D16F-0042-FE49-8BDF-4D0823B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BF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5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5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5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3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3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48F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E7E"/>
    <w:rPr>
      <w:vertAlign w:val="superscript"/>
    </w:rPr>
  </w:style>
  <w:style w:type="paragraph" w:customStyle="1" w:styleId="Default">
    <w:name w:val="Default"/>
    <w:rsid w:val="00432F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BD74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7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75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75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0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7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41AA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D0D52-B3BD-47F7-BCF1-2203EDE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Łoś</dc:creator>
  <cp:keywords/>
  <dc:description/>
  <cp:lastModifiedBy>Klaudia Łoś</cp:lastModifiedBy>
  <cp:revision>18</cp:revision>
  <dcterms:created xsi:type="dcterms:W3CDTF">2022-06-08T06:46:00Z</dcterms:created>
  <dcterms:modified xsi:type="dcterms:W3CDTF">2022-06-20T09:20:00Z</dcterms:modified>
</cp:coreProperties>
</file>